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46C7B7B" w:rsidR="00AE1299" w:rsidRPr="00A216F8" w:rsidRDefault="009F0C8E" w:rsidP="009F0C8E">
      <w:pPr>
        <w:rPr>
          <w:b/>
          <w:bCs/>
        </w:rPr>
      </w:pPr>
      <w:permStart w:id="1364140959" w:edGrp="everyone"/>
      <w:proofErr w:type="spellStart"/>
      <w:r w:rsidRPr="009F0C8E">
        <w:rPr>
          <w:rStyle w:val="Heading1Char"/>
          <w:lang w:eastAsia="da-DK"/>
        </w:rPr>
        <w:t>Poul</w:t>
      </w:r>
      <w:proofErr w:type="spellEnd"/>
      <w:r w:rsidRPr="009F0C8E">
        <w:rPr>
          <w:rStyle w:val="Heading1Char"/>
          <w:lang w:eastAsia="da-DK"/>
        </w:rPr>
        <w:t xml:space="preserve"> Due Jensen joined CEOs to G7 and World Leaders in supporting “Bold” Net-Zero Commitments</w:t>
      </w:r>
      <w:r w:rsidRPr="009F0C8E">
        <w:rPr>
          <w:rStyle w:val="Heading1Char"/>
        </w:rPr>
        <w:br/>
      </w:r>
      <w:r>
        <w:rPr>
          <w:b/>
          <w:bCs/>
        </w:rPr>
        <w:t>16</w:t>
      </w:r>
      <w:r w:rsidR="00AE1299" w:rsidRPr="007C2AE7">
        <w:rPr>
          <w:b/>
          <w:bCs/>
        </w:rPr>
        <w:t>-</w:t>
      </w:r>
      <w:r>
        <w:rPr>
          <w:b/>
          <w:bCs/>
        </w:rPr>
        <w:t>Jun</w:t>
      </w:r>
      <w:r w:rsidR="00AE1299" w:rsidRPr="007C2AE7">
        <w:rPr>
          <w:b/>
          <w:bCs/>
        </w:rPr>
        <w:t>-202</w:t>
      </w:r>
      <w:r>
        <w:rPr>
          <w:b/>
          <w:bCs/>
        </w:rPr>
        <w:t>1</w:t>
      </w:r>
    </w:p>
    <w:p w14:paraId="32141C6A" w14:textId="37B7C6B5" w:rsidR="009F0C8E" w:rsidRDefault="00AE1299" w:rsidP="009F0C8E">
      <w:pPr>
        <w:jc w:val="both"/>
      </w:pPr>
      <w:r>
        <w:rPr>
          <w:b/>
          <w:bCs/>
        </w:rPr>
        <w:br/>
      </w:r>
      <w:proofErr w:type="spellStart"/>
      <w:r w:rsidR="009F0C8E">
        <w:t>Poul</w:t>
      </w:r>
      <w:proofErr w:type="spellEnd"/>
      <w:r w:rsidR="009F0C8E">
        <w:t xml:space="preserve"> Due Jensen, CEO of Grundfos joined over 70 CEOs in releasing an open letter to world leaders in support of “bold and courageous commitments, polices and actions” in the race to net-zero.</w:t>
      </w:r>
    </w:p>
    <w:p w14:paraId="45F13B20" w14:textId="03D5AF6E" w:rsidR="009F0C8E" w:rsidRDefault="009F0C8E" w:rsidP="009F0C8E">
      <w:pPr>
        <w:jc w:val="both"/>
      </w:pPr>
      <w:r>
        <w:t>These executives have committed to reducing their own emissions as part of the World Economic Forum hosted Alliance of CEO Climate Leaders. Leaders outlined how business is stepping up and said that action from governments can accelerate even more action from companies.</w:t>
      </w:r>
    </w:p>
    <w:p w14:paraId="18495BE7" w14:textId="509F2184" w:rsidR="009F0C8E" w:rsidRDefault="009F0C8E" w:rsidP="009F0C8E">
      <w:pPr>
        <w:jc w:val="both"/>
      </w:pPr>
      <w:r>
        <w:t xml:space="preserve">Commenting on this commitment, </w:t>
      </w:r>
      <w:proofErr w:type="spellStart"/>
      <w:r>
        <w:t>Poul</w:t>
      </w:r>
      <w:proofErr w:type="spellEnd"/>
      <w:r>
        <w:t xml:space="preserve"> Due Jensen said, “As part of The Alliance of CEO Climate Leaders, I am happy to be co-signer on an open letter that calls on the #G7summit and all world leaders to ramp up public-private cooperation on net-zero policies and green investments. Transformative policy change is urgent if we are to reach full decarbonization by 2050. We are ready to move, let's get the clear and ambitious policy framework needed in place.”</w:t>
      </w:r>
    </w:p>
    <w:p w14:paraId="03CF99E9" w14:textId="515774A0" w:rsidR="00AE1299" w:rsidRPr="00A216F8" w:rsidRDefault="009F0C8E" w:rsidP="009F0C8E">
      <w:pPr>
        <w:jc w:val="both"/>
      </w:pPr>
      <w:r>
        <w:t xml:space="preserve">You can read more about this announcement </w:t>
      </w:r>
      <w:proofErr w:type="gramStart"/>
      <w:r>
        <w:t>here</w:t>
      </w:r>
      <w:proofErr w:type="gramEnd"/>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115B" w14:textId="77777777" w:rsidR="007311FC" w:rsidRDefault="007311FC" w:rsidP="00924CFE">
      <w:r>
        <w:separator/>
      </w:r>
    </w:p>
  </w:endnote>
  <w:endnote w:type="continuationSeparator" w:id="0">
    <w:p w14:paraId="536F7842" w14:textId="77777777" w:rsidR="007311FC" w:rsidRDefault="007311FC"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81F5" w14:textId="77777777" w:rsidR="007311FC" w:rsidRDefault="007311FC" w:rsidP="00924CFE">
      <w:r>
        <w:separator/>
      </w:r>
    </w:p>
  </w:footnote>
  <w:footnote w:type="continuationSeparator" w:id="0">
    <w:p w14:paraId="374A119F" w14:textId="77777777" w:rsidR="007311FC" w:rsidRDefault="007311FC"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11FC"/>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0C8E"/>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238</Words>
  <Characters>1360</Characters>
  <Application>Microsoft Office Word</Application>
  <DocSecurity>8</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2</cp:revision>
  <cp:lastPrinted>2012-08-31T11:50:00Z</cp:lastPrinted>
  <dcterms:created xsi:type="dcterms:W3CDTF">2024-11-27T06:26:00Z</dcterms:created>
  <dcterms:modified xsi:type="dcterms:W3CDTF">2024-11-27T06:26:00Z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