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919C" w14:textId="3FEE06AD" w:rsidR="00AE1299" w:rsidRPr="00A216F8" w:rsidRDefault="0020179C" w:rsidP="0020179C">
      <w:pPr>
        <w:rPr>
          <w:b/>
          <w:bCs/>
        </w:rPr>
      </w:pPr>
      <w:permStart w:id="1364140959" w:edGrp="everyone"/>
      <w:r w:rsidRPr="0020179C">
        <w:rPr>
          <w:rStyle w:val="Heading1Char"/>
          <w:lang w:eastAsia="da-DK"/>
        </w:rPr>
        <w:t>Grundfos supports French health care system with visor donation</w:t>
      </w:r>
      <w:r>
        <w:rPr>
          <w:rFonts w:ascii="Calibri" w:eastAsia="Times New Roman" w:hAnsi="Calibri" w:cs="Calibri"/>
          <w:b/>
          <w:bCs/>
          <w:color w:val="126AF3" w:themeColor="accent2"/>
          <w:kern w:val="0"/>
          <w:sz w:val="36"/>
          <w:szCs w:val="36"/>
          <w:lang w:eastAsia="da-DK"/>
          <w14:ligatures w14:val="none"/>
        </w:rPr>
        <w:br/>
      </w:r>
      <w:r>
        <w:rPr>
          <w:b/>
          <w:bCs/>
        </w:rPr>
        <w:t>18</w:t>
      </w:r>
      <w:r w:rsidR="00AE1299" w:rsidRPr="007C2AE7">
        <w:rPr>
          <w:b/>
          <w:bCs/>
        </w:rPr>
        <w:t>-</w:t>
      </w:r>
      <w:r>
        <w:rPr>
          <w:b/>
          <w:bCs/>
        </w:rPr>
        <w:t>May</w:t>
      </w:r>
      <w:r w:rsidR="00AE1299" w:rsidRPr="007C2AE7">
        <w:rPr>
          <w:b/>
          <w:bCs/>
        </w:rPr>
        <w:t>-202</w:t>
      </w:r>
      <w:r>
        <w:rPr>
          <w:b/>
          <w:bCs/>
        </w:rPr>
        <w:t>0</w:t>
      </w:r>
    </w:p>
    <w:p w14:paraId="63750FE2" w14:textId="15B4CADA" w:rsidR="00AE009C" w:rsidRPr="00AE009C" w:rsidRDefault="00AE1299" w:rsidP="00AE009C">
      <w:pPr>
        <w:jc w:val="both"/>
        <w:rPr>
          <w:b/>
          <w:bCs/>
        </w:rPr>
      </w:pPr>
      <w:r>
        <w:rPr>
          <w:b/>
          <w:bCs/>
        </w:rPr>
        <w:br/>
      </w:r>
      <w:r w:rsidR="00AE009C" w:rsidRPr="00AE009C">
        <w:rPr>
          <w:b/>
          <w:bCs/>
        </w:rPr>
        <w:t xml:space="preserve">2,500 face shields have been donated to French health care services to aid the medical staff who are in the front line fighting the Corona pandemic. </w:t>
      </w:r>
    </w:p>
    <w:p w14:paraId="1FE75EDC" w14:textId="455CD71A" w:rsidR="00AE009C" w:rsidRDefault="00AE009C" w:rsidP="00AE009C">
      <w:pPr>
        <w:jc w:val="both"/>
      </w:pPr>
      <w:r>
        <w:t>The Corona virus has stressed health care systems around the world, challenging their capacities to care for patients and protect medical staff in a time of crisis. France is one of many countries, where the health care system has been facing a dire shortage of protective supplies, and many have been struggling.</w:t>
      </w:r>
    </w:p>
    <w:p w14:paraId="78300220" w14:textId="0A2EED93" w:rsidR="00AE1299" w:rsidRDefault="00AE009C" w:rsidP="00486858">
      <w:pPr>
        <w:jc w:val="both"/>
      </w:pPr>
      <w:r>
        <w:t>Grundfos has donated 2,500 face shields to a local hospital in Saint-</w:t>
      </w:r>
      <w:proofErr w:type="spellStart"/>
      <w:r>
        <w:t>Avold</w:t>
      </w:r>
      <w:proofErr w:type="spellEnd"/>
      <w:r>
        <w:t xml:space="preserve">, in </w:t>
      </w:r>
      <w:proofErr w:type="spellStart"/>
      <w:r>
        <w:t>Dieuze</w:t>
      </w:r>
      <w:proofErr w:type="spellEnd"/>
      <w:r>
        <w:t xml:space="preserve">, and to three hospitals in Metz. Visors have also been delivered to ambulance companies, home care nurses and to elderly care in </w:t>
      </w:r>
      <w:proofErr w:type="spellStart"/>
      <w:r>
        <w:t>Creutzwald</w:t>
      </w:r>
      <w:proofErr w:type="spellEnd"/>
      <w:r>
        <w:t>.</w:t>
      </w:r>
    </w:p>
    <w:p w14:paraId="619BC154" w14:textId="53AD7D43" w:rsidR="00AE009C" w:rsidRDefault="00AE009C" w:rsidP="00AE009C">
      <w:pPr>
        <w:jc w:val="both"/>
      </w:pPr>
      <w:r>
        <w:t>Picture from nurse Coralie Kettelhut’s social media, thanking Grundfos for the visor donation.</w:t>
      </w:r>
    </w:p>
    <w:p w14:paraId="5B2CBD4E" w14:textId="267438A3" w:rsidR="00AE009C" w:rsidRDefault="00AE009C" w:rsidP="00AE009C">
      <w:pPr>
        <w:jc w:val="both"/>
      </w:pPr>
      <w:r>
        <w:t>“With this visor donation, we are helping doctors and nurses in desperate need of protective supplies. This is an important step in combatting the virus,” says Sabine Muller, Health &amp; Safety &amp; Environment Manager at Grundfos in France.</w:t>
      </w:r>
    </w:p>
    <w:p w14:paraId="3A1FE021" w14:textId="2207F5FA" w:rsidR="00AE009C" w:rsidRDefault="00AE009C" w:rsidP="00AE009C">
      <w:pPr>
        <w:jc w:val="both"/>
      </w:pPr>
      <w:r>
        <w:t xml:space="preserve">The visors have been very well received, and a health care team in </w:t>
      </w:r>
      <w:proofErr w:type="spellStart"/>
      <w:r>
        <w:t>Creutzwald</w:t>
      </w:r>
      <w:proofErr w:type="spellEnd"/>
      <w:r>
        <w:t xml:space="preserve"> has shown their gratitude on social media.</w:t>
      </w:r>
    </w:p>
    <w:p w14:paraId="6006D75E" w14:textId="7E587185" w:rsidR="00AE009C" w:rsidRDefault="00AE009C" w:rsidP="00AE009C">
      <w:pPr>
        <w:jc w:val="both"/>
      </w:pPr>
      <w:r>
        <w:t xml:space="preserve">“The whole team of </w:t>
      </w:r>
      <w:proofErr w:type="spellStart"/>
      <w:r>
        <w:t>Creutzwald</w:t>
      </w:r>
      <w:proofErr w:type="spellEnd"/>
      <w:r>
        <w:t xml:space="preserve"> geriatric pole would like to thank Grundfos for their donation of protective visors for our nursing staff,” writes nurse Coralie Kettelhut in a Facebook post together with pictures of the team wearing the visors.</w:t>
      </w:r>
    </w:p>
    <w:p w14:paraId="50C883FA" w14:textId="25D52E28" w:rsidR="00AE009C" w:rsidRDefault="00AE009C" w:rsidP="00AE009C">
      <w:pPr>
        <w:jc w:val="both"/>
      </w:pPr>
      <w:r>
        <w:t xml:space="preserve">Sabine Muller is pleased with the donation, and she is proud of Grundfos for taking responsibility in a time of crisis. </w:t>
      </w:r>
    </w:p>
    <w:p w14:paraId="5CC7C51F" w14:textId="377BDCDF" w:rsidR="00AE1299" w:rsidRDefault="00AE009C" w:rsidP="00486858">
      <w:pPr>
        <w:jc w:val="both"/>
      </w:pPr>
      <w:r>
        <w:t>“This just our attempt to help.”</w:t>
      </w:r>
      <w:permEnd w:id="1364140959"/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000000" w:rsidP="00486858">
            <w:pPr>
              <w:spacing w:after="0"/>
              <w:jc w:val="both"/>
            </w:pPr>
            <w:hyperlink r:id="rId11" w:history="1">
              <w:r w:rsidR="00AE1299"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000000" w:rsidP="00486858">
            <w:pPr>
              <w:spacing w:after="0"/>
              <w:jc w:val="both"/>
            </w:pPr>
            <w:hyperlink r:id="rId12" w:history="1">
              <w:r w:rsidR="00AE1299"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000000" w:rsidP="00486858">
            <w:pPr>
              <w:spacing w:after="0"/>
              <w:jc w:val="both"/>
            </w:pPr>
            <w:hyperlink r:id="rId13" w:history="1">
              <w:r w:rsidR="00AE1299"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67F3" w14:textId="77777777" w:rsidR="00E44136" w:rsidRDefault="00E44136" w:rsidP="00924CFE">
      <w:r>
        <w:separator/>
      </w:r>
    </w:p>
  </w:endnote>
  <w:endnote w:type="continuationSeparator" w:id="0">
    <w:p w14:paraId="19DFA8AD" w14:textId="77777777" w:rsidR="00E44136" w:rsidRDefault="00E44136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604020202020204"/>
    <w:charset w:val="00"/>
    <w:family w:val="swiss"/>
    <w:pitch w:val="variable"/>
    <w:sig w:usb0="A00002FF" w:usb1="500064B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95F4" w14:textId="77777777" w:rsidR="00E44136" w:rsidRDefault="00E44136" w:rsidP="00924CFE">
      <w:r>
        <w:separator/>
      </w:r>
    </w:p>
  </w:footnote>
  <w:footnote w:type="continuationSeparator" w:id="0">
    <w:p w14:paraId="784B23B6" w14:textId="77777777" w:rsidR="00E44136" w:rsidRDefault="00E44136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3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4"/>
  </w:num>
  <w:num w:numId="28" w16cid:durableId="2102293284">
    <w:abstractNumId w:val="14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4"/>
  </w:num>
  <w:num w:numId="32" w16cid:durableId="187836470">
    <w:abstractNumId w:val="14"/>
  </w:num>
  <w:num w:numId="33" w16cid:durableId="384180539">
    <w:abstractNumId w:val="10"/>
  </w:num>
  <w:num w:numId="34" w16cid:durableId="37051309">
    <w:abstractNumId w:val="14"/>
  </w:num>
  <w:num w:numId="35" w16cid:durableId="136081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464BF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4693"/>
    <w:rsid w:val="00130BE1"/>
    <w:rsid w:val="00131F07"/>
    <w:rsid w:val="00132A51"/>
    <w:rsid w:val="00143A75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179C"/>
    <w:rsid w:val="00206682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D4793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C4081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B0FB0"/>
    <w:rsid w:val="005C2450"/>
    <w:rsid w:val="005E2C0A"/>
    <w:rsid w:val="005F306B"/>
    <w:rsid w:val="005F31DA"/>
    <w:rsid w:val="00600342"/>
    <w:rsid w:val="006046C7"/>
    <w:rsid w:val="00611BDC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7333"/>
    <w:rsid w:val="00737DB4"/>
    <w:rsid w:val="00747730"/>
    <w:rsid w:val="00760126"/>
    <w:rsid w:val="007655F5"/>
    <w:rsid w:val="00770F6E"/>
    <w:rsid w:val="00772D9C"/>
    <w:rsid w:val="00775DC2"/>
    <w:rsid w:val="007776DB"/>
    <w:rsid w:val="007923E9"/>
    <w:rsid w:val="007A69CB"/>
    <w:rsid w:val="007A7339"/>
    <w:rsid w:val="007B6A34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1364D"/>
    <w:rsid w:val="00917642"/>
    <w:rsid w:val="009177C6"/>
    <w:rsid w:val="00924CFE"/>
    <w:rsid w:val="00932D52"/>
    <w:rsid w:val="00933658"/>
    <w:rsid w:val="00940365"/>
    <w:rsid w:val="00961331"/>
    <w:rsid w:val="009653C9"/>
    <w:rsid w:val="00976C57"/>
    <w:rsid w:val="00976D4E"/>
    <w:rsid w:val="009855C6"/>
    <w:rsid w:val="00986184"/>
    <w:rsid w:val="00987385"/>
    <w:rsid w:val="009A0C2B"/>
    <w:rsid w:val="009A0FE7"/>
    <w:rsid w:val="009B28F1"/>
    <w:rsid w:val="009B3027"/>
    <w:rsid w:val="009B6748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3557"/>
    <w:rsid w:val="00AE009C"/>
    <w:rsid w:val="00AE1299"/>
    <w:rsid w:val="00AE2BA2"/>
    <w:rsid w:val="00AF1568"/>
    <w:rsid w:val="00AF4B83"/>
    <w:rsid w:val="00B101F9"/>
    <w:rsid w:val="00B16974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6A3F"/>
    <w:rsid w:val="00D17E70"/>
    <w:rsid w:val="00D31205"/>
    <w:rsid w:val="00D3169A"/>
    <w:rsid w:val="00D31AC2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4136"/>
    <w:rsid w:val="00E453EB"/>
    <w:rsid w:val="00E51FCA"/>
    <w:rsid w:val="00E54D7D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C:\Users\73063\Downloads\Grundfos A4 Logo Top.dotx</Template>
  <TotalTime>2</TotalTime>
  <Pages>1</Pages>
  <Words>319</Words>
  <Characters>1820</Characters>
  <Application>Microsoft Office Word</Application>
  <DocSecurity>8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Ninh Gia Nguyen</cp:lastModifiedBy>
  <cp:revision>3</cp:revision>
  <cp:lastPrinted>2012-08-31T11:50:00Z</cp:lastPrinted>
  <dcterms:created xsi:type="dcterms:W3CDTF">2024-11-28T03:57:00Z</dcterms:created>
  <dcterms:modified xsi:type="dcterms:W3CDTF">2024-11-28T03:58:00Z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