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55BFA7A0" w:rsidR="00AE1299" w:rsidRPr="00A216F8" w:rsidRDefault="00775D57" w:rsidP="00775D57">
      <w:pPr>
        <w:rPr>
          <w:b/>
          <w:bCs/>
        </w:rPr>
      </w:pPr>
      <w:permStart w:id="1364140959" w:edGrp="everyone"/>
      <w:r w:rsidRPr="00775D57">
        <w:rPr>
          <w:rStyle w:val="Heading1Char"/>
          <w:lang w:eastAsia="da-DK"/>
        </w:rPr>
        <w:t>Grundfos experiences moderate demand, but still delivers growth in key markets in the first half of 2024</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Pr>
          <w:b/>
          <w:bCs/>
        </w:rPr>
        <w:t>1</w:t>
      </w:r>
      <w:r w:rsidR="00AE1299" w:rsidRPr="007C2AE7">
        <w:rPr>
          <w:b/>
          <w:bCs/>
        </w:rPr>
        <w:t>-</w:t>
      </w:r>
      <w:r>
        <w:rPr>
          <w:b/>
          <w:bCs/>
        </w:rPr>
        <w:t>Aug</w:t>
      </w:r>
      <w:r w:rsidR="00AE1299" w:rsidRPr="007C2AE7">
        <w:rPr>
          <w:b/>
          <w:bCs/>
        </w:rPr>
        <w:t>-2024</w:t>
      </w:r>
    </w:p>
    <w:p w14:paraId="691C63AE" w14:textId="572F66DF" w:rsidR="00775D57" w:rsidRPr="00775D57" w:rsidRDefault="00AE1299" w:rsidP="00775D57">
      <w:pPr>
        <w:jc w:val="both"/>
        <w:rPr>
          <w:b/>
          <w:bCs/>
        </w:rPr>
      </w:pPr>
      <w:r>
        <w:rPr>
          <w:b/>
          <w:bCs/>
        </w:rPr>
        <w:br/>
      </w:r>
      <w:r w:rsidR="00775D57" w:rsidRPr="00775D57">
        <w:rPr>
          <w:b/>
          <w:bCs/>
        </w:rPr>
        <w:t>Despite a general slowdown in sales, Grundfos reports growth in key markets, including the US. The slowdown is particularly noticeable in the European heat pump market to which Grundfos supplies circulator pumps. The company expects a stronger second half year.</w:t>
      </w:r>
    </w:p>
    <w:p w14:paraId="3D9DD913" w14:textId="77777777" w:rsidR="00775D57" w:rsidRPr="00775D57" w:rsidRDefault="00775D57" w:rsidP="00775D57">
      <w:pPr>
        <w:jc w:val="both"/>
      </w:pPr>
      <w:r w:rsidRPr="00775D57">
        <w:t>Grundfos, a global leader in advanced pump solutions and water technology, has today reported its results for the first six months of 2024.</w:t>
      </w:r>
      <w:r w:rsidRPr="00775D57">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46"/>
        <w:gridCol w:w="3446"/>
      </w:tblGrid>
      <w:tr w:rsidR="00775D57" w:rsidRPr="00775D57" w14:paraId="02E40575" w14:textId="77777777" w:rsidTr="00775D57">
        <w:trPr>
          <w:trHeight w:val="268"/>
          <w:tblCellSpacing w:w="0" w:type="dxa"/>
        </w:trPr>
        <w:tc>
          <w:tcPr>
            <w:tcW w:w="3446" w:type="dxa"/>
            <w:tcBorders>
              <w:top w:val="outset" w:sz="6" w:space="0" w:color="auto"/>
              <w:left w:val="outset" w:sz="6" w:space="0" w:color="auto"/>
              <w:bottom w:val="outset" w:sz="6" w:space="0" w:color="auto"/>
              <w:right w:val="outset" w:sz="6" w:space="0" w:color="auto"/>
            </w:tcBorders>
            <w:shd w:val="clear" w:color="auto" w:fill="FFFFFF"/>
            <w:hideMark/>
          </w:tcPr>
          <w:p w14:paraId="6B9D88F0" w14:textId="77777777" w:rsidR="00775D57" w:rsidRPr="00775D57" w:rsidRDefault="00775D57" w:rsidP="00775D57">
            <w:pPr>
              <w:spacing w:after="0" w:line="240" w:lineRule="auto"/>
              <w:rPr>
                <w:rFonts w:eastAsia="Times New Roman" w:cstheme="minorHAnsi"/>
                <w:color w:val="0C1217"/>
                <w:kern w:val="0"/>
                <w14:ligatures w14:val="none"/>
              </w:rPr>
            </w:pPr>
            <w:r w:rsidRPr="00775D57">
              <w:rPr>
                <w:rFonts w:eastAsia="Times New Roman" w:cstheme="minorHAnsi"/>
                <w:b/>
                <w:bCs/>
                <w:color w:val="0C1217"/>
                <w:kern w:val="0"/>
                <w14:ligatures w14:val="none"/>
              </w:rPr>
              <w:t>Sales development vs. H1 2023</w:t>
            </w:r>
          </w:p>
        </w:tc>
        <w:tc>
          <w:tcPr>
            <w:tcW w:w="3446" w:type="dxa"/>
            <w:tcBorders>
              <w:top w:val="outset" w:sz="6" w:space="0" w:color="auto"/>
              <w:left w:val="outset" w:sz="6" w:space="0" w:color="auto"/>
              <w:bottom w:val="outset" w:sz="6" w:space="0" w:color="auto"/>
              <w:right w:val="outset" w:sz="6" w:space="0" w:color="auto"/>
            </w:tcBorders>
            <w:shd w:val="clear" w:color="auto" w:fill="FFFFFF"/>
            <w:hideMark/>
          </w:tcPr>
          <w:p w14:paraId="159B53A1" w14:textId="77777777" w:rsidR="00775D57" w:rsidRPr="00775D57" w:rsidRDefault="00775D57" w:rsidP="00775D57">
            <w:pPr>
              <w:spacing w:after="0" w:line="240" w:lineRule="auto"/>
              <w:rPr>
                <w:rFonts w:eastAsia="Times New Roman" w:cstheme="minorHAnsi"/>
                <w:color w:val="0C1217"/>
                <w:kern w:val="0"/>
                <w14:ligatures w14:val="none"/>
              </w:rPr>
            </w:pPr>
            <w:r w:rsidRPr="00775D57">
              <w:rPr>
                <w:rFonts w:eastAsia="Times New Roman" w:cstheme="minorHAnsi"/>
                <w:color w:val="0C1217"/>
                <w:kern w:val="0"/>
                <w14:ligatures w14:val="none"/>
              </w:rPr>
              <w:t>-8.6%</w:t>
            </w:r>
          </w:p>
        </w:tc>
      </w:tr>
      <w:tr w:rsidR="00775D57" w:rsidRPr="00775D57" w14:paraId="3C030DCF" w14:textId="77777777" w:rsidTr="00775D57">
        <w:trPr>
          <w:trHeight w:val="268"/>
          <w:tblCellSpacing w:w="0" w:type="dxa"/>
        </w:trPr>
        <w:tc>
          <w:tcPr>
            <w:tcW w:w="3446" w:type="dxa"/>
            <w:tcBorders>
              <w:top w:val="outset" w:sz="6" w:space="0" w:color="auto"/>
              <w:left w:val="outset" w:sz="6" w:space="0" w:color="auto"/>
              <w:bottom w:val="outset" w:sz="6" w:space="0" w:color="auto"/>
              <w:right w:val="outset" w:sz="6" w:space="0" w:color="auto"/>
            </w:tcBorders>
            <w:shd w:val="clear" w:color="auto" w:fill="FFFFFF"/>
            <w:hideMark/>
          </w:tcPr>
          <w:p w14:paraId="00B2154D" w14:textId="77777777" w:rsidR="00775D57" w:rsidRPr="00775D57" w:rsidRDefault="00775D57" w:rsidP="00775D57">
            <w:pPr>
              <w:spacing w:after="0" w:line="240" w:lineRule="auto"/>
              <w:rPr>
                <w:rFonts w:eastAsia="Times New Roman" w:cstheme="minorHAnsi"/>
                <w:color w:val="0C1217"/>
                <w:kern w:val="0"/>
                <w14:ligatures w14:val="none"/>
              </w:rPr>
            </w:pPr>
            <w:r w:rsidRPr="00775D57">
              <w:rPr>
                <w:rFonts w:eastAsia="Times New Roman" w:cstheme="minorHAnsi"/>
                <w:b/>
                <w:bCs/>
                <w:color w:val="0C1217"/>
                <w:kern w:val="0"/>
                <w14:ligatures w14:val="none"/>
              </w:rPr>
              <w:t>Revenue</w:t>
            </w:r>
          </w:p>
        </w:tc>
        <w:tc>
          <w:tcPr>
            <w:tcW w:w="3446" w:type="dxa"/>
            <w:tcBorders>
              <w:top w:val="outset" w:sz="6" w:space="0" w:color="auto"/>
              <w:left w:val="outset" w:sz="6" w:space="0" w:color="auto"/>
              <w:bottom w:val="outset" w:sz="6" w:space="0" w:color="auto"/>
              <w:right w:val="outset" w:sz="6" w:space="0" w:color="auto"/>
            </w:tcBorders>
            <w:shd w:val="clear" w:color="auto" w:fill="FFFFFF"/>
            <w:hideMark/>
          </w:tcPr>
          <w:p w14:paraId="4AE7DC81" w14:textId="77777777" w:rsidR="00775D57" w:rsidRPr="00775D57" w:rsidRDefault="00775D57" w:rsidP="00775D57">
            <w:pPr>
              <w:spacing w:after="0" w:line="240" w:lineRule="auto"/>
              <w:rPr>
                <w:rFonts w:eastAsia="Times New Roman" w:cstheme="minorHAnsi"/>
                <w:color w:val="0C1217"/>
                <w:kern w:val="0"/>
                <w14:ligatures w14:val="none"/>
              </w:rPr>
            </w:pPr>
            <w:r w:rsidRPr="00775D57">
              <w:rPr>
                <w:rFonts w:eastAsia="Times New Roman" w:cstheme="minorHAnsi"/>
                <w:color w:val="0C1217"/>
                <w:kern w:val="0"/>
                <w14:ligatures w14:val="none"/>
              </w:rPr>
              <w:t>EUR 2.2bn</w:t>
            </w:r>
          </w:p>
        </w:tc>
      </w:tr>
      <w:tr w:rsidR="00775D57" w:rsidRPr="00775D57" w14:paraId="45383C1A" w14:textId="77777777" w:rsidTr="00775D57">
        <w:trPr>
          <w:trHeight w:val="268"/>
          <w:tblCellSpacing w:w="0" w:type="dxa"/>
        </w:trPr>
        <w:tc>
          <w:tcPr>
            <w:tcW w:w="3446" w:type="dxa"/>
            <w:tcBorders>
              <w:top w:val="outset" w:sz="6" w:space="0" w:color="auto"/>
              <w:left w:val="outset" w:sz="6" w:space="0" w:color="auto"/>
              <w:bottom w:val="outset" w:sz="6" w:space="0" w:color="auto"/>
              <w:right w:val="outset" w:sz="6" w:space="0" w:color="auto"/>
            </w:tcBorders>
            <w:shd w:val="clear" w:color="auto" w:fill="FFFFFF"/>
            <w:hideMark/>
          </w:tcPr>
          <w:p w14:paraId="5C3599D6" w14:textId="77777777" w:rsidR="00775D57" w:rsidRPr="00775D57" w:rsidRDefault="00775D57" w:rsidP="00775D57">
            <w:pPr>
              <w:spacing w:after="0" w:line="240" w:lineRule="auto"/>
              <w:rPr>
                <w:rFonts w:eastAsia="Times New Roman" w:cstheme="minorHAnsi"/>
                <w:color w:val="0C1217"/>
                <w:kern w:val="0"/>
                <w14:ligatures w14:val="none"/>
              </w:rPr>
            </w:pPr>
            <w:r w:rsidRPr="00775D57">
              <w:rPr>
                <w:rFonts w:eastAsia="Times New Roman" w:cstheme="minorHAnsi"/>
                <w:b/>
                <w:bCs/>
                <w:color w:val="0C1217"/>
                <w:kern w:val="0"/>
                <w14:ligatures w14:val="none"/>
              </w:rPr>
              <w:t>EBIT before special items</w:t>
            </w:r>
          </w:p>
        </w:tc>
        <w:tc>
          <w:tcPr>
            <w:tcW w:w="3446" w:type="dxa"/>
            <w:tcBorders>
              <w:top w:val="outset" w:sz="6" w:space="0" w:color="auto"/>
              <w:left w:val="outset" w:sz="6" w:space="0" w:color="auto"/>
              <w:bottom w:val="outset" w:sz="6" w:space="0" w:color="auto"/>
              <w:right w:val="outset" w:sz="6" w:space="0" w:color="auto"/>
            </w:tcBorders>
            <w:shd w:val="clear" w:color="auto" w:fill="FFFFFF"/>
            <w:hideMark/>
          </w:tcPr>
          <w:p w14:paraId="0F5B8634" w14:textId="77777777" w:rsidR="00775D57" w:rsidRPr="00775D57" w:rsidRDefault="00775D57" w:rsidP="00775D57">
            <w:pPr>
              <w:spacing w:after="0" w:line="240" w:lineRule="auto"/>
              <w:rPr>
                <w:rFonts w:eastAsia="Times New Roman" w:cstheme="minorHAnsi"/>
                <w:color w:val="0C1217"/>
                <w:kern w:val="0"/>
                <w14:ligatures w14:val="none"/>
              </w:rPr>
            </w:pPr>
            <w:r w:rsidRPr="00775D57">
              <w:rPr>
                <w:rFonts w:eastAsia="Times New Roman" w:cstheme="minorHAnsi"/>
                <w:color w:val="0C1217"/>
                <w:kern w:val="0"/>
                <w14:ligatures w14:val="none"/>
              </w:rPr>
              <w:t>EUR 223m</w:t>
            </w:r>
          </w:p>
        </w:tc>
      </w:tr>
      <w:tr w:rsidR="00775D57" w:rsidRPr="00775D57" w14:paraId="41035404" w14:textId="77777777" w:rsidTr="00775D57">
        <w:trPr>
          <w:trHeight w:val="268"/>
          <w:tblCellSpacing w:w="0" w:type="dxa"/>
        </w:trPr>
        <w:tc>
          <w:tcPr>
            <w:tcW w:w="3446" w:type="dxa"/>
            <w:tcBorders>
              <w:top w:val="outset" w:sz="6" w:space="0" w:color="auto"/>
              <w:left w:val="outset" w:sz="6" w:space="0" w:color="auto"/>
              <w:bottom w:val="outset" w:sz="6" w:space="0" w:color="auto"/>
              <w:right w:val="outset" w:sz="6" w:space="0" w:color="auto"/>
            </w:tcBorders>
            <w:shd w:val="clear" w:color="auto" w:fill="FFFFFF"/>
            <w:hideMark/>
          </w:tcPr>
          <w:p w14:paraId="196688AA" w14:textId="77777777" w:rsidR="00775D57" w:rsidRPr="00775D57" w:rsidRDefault="00775D57" w:rsidP="00775D57">
            <w:pPr>
              <w:spacing w:after="0" w:line="240" w:lineRule="auto"/>
              <w:rPr>
                <w:rFonts w:eastAsia="Times New Roman" w:cstheme="minorHAnsi"/>
                <w:color w:val="0C1217"/>
                <w:kern w:val="0"/>
                <w14:ligatures w14:val="none"/>
              </w:rPr>
            </w:pPr>
            <w:r w:rsidRPr="00775D57">
              <w:rPr>
                <w:rFonts w:eastAsia="Times New Roman" w:cstheme="minorHAnsi"/>
                <w:b/>
                <w:bCs/>
                <w:color w:val="0C1217"/>
                <w:kern w:val="0"/>
                <w14:ligatures w14:val="none"/>
              </w:rPr>
              <w:t>EBIT before special items ratio</w:t>
            </w:r>
          </w:p>
        </w:tc>
        <w:tc>
          <w:tcPr>
            <w:tcW w:w="3446" w:type="dxa"/>
            <w:tcBorders>
              <w:top w:val="outset" w:sz="6" w:space="0" w:color="auto"/>
              <w:left w:val="outset" w:sz="6" w:space="0" w:color="auto"/>
              <w:bottom w:val="outset" w:sz="6" w:space="0" w:color="auto"/>
              <w:right w:val="outset" w:sz="6" w:space="0" w:color="auto"/>
            </w:tcBorders>
            <w:shd w:val="clear" w:color="auto" w:fill="FFFFFF"/>
            <w:hideMark/>
          </w:tcPr>
          <w:p w14:paraId="0D95A5B9" w14:textId="77777777" w:rsidR="00775D57" w:rsidRPr="00775D57" w:rsidRDefault="00775D57" w:rsidP="00775D57">
            <w:pPr>
              <w:spacing w:after="0" w:line="240" w:lineRule="auto"/>
              <w:rPr>
                <w:rFonts w:eastAsia="Times New Roman" w:cstheme="minorHAnsi"/>
                <w:color w:val="0C1217"/>
                <w:kern w:val="0"/>
                <w14:ligatures w14:val="none"/>
              </w:rPr>
            </w:pPr>
            <w:r w:rsidRPr="00775D57">
              <w:rPr>
                <w:rFonts w:eastAsia="Times New Roman" w:cstheme="minorHAnsi"/>
                <w:color w:val="0C1217"/>
                <w:kern w:val="0"/>
                <w14:ligatures w14:val="none"/>
              </w:rPr>
              <w:t>10.2%</w:t>
            </w:r>
          </w:p>
        </w:tc>
      </w:tr>
    </w:tbl>
    <w:p w14:paraId="1C4D2920" w14:textId="3451B51D" w:rsidR="00775D57" w:rsidRPr="00775D57" w:rsidRDefault="00775D57" w:rsidP="00775D57">
      <w:pPr>
        <w:jc w:val="both"/>
      </w:pPr>
    </w:p>
    <w:p w14:paraId="7C159B4F" w14:textId="51C2A1B9" w:rsidR="00775D57" w:rsidRDefault="00775D57" w:rsidP="00775D57">
      <w:pPr>
        <w:jc w:val="both"/>
      </w:pPr>
      <w:r>
        <w:t>The first half of 2024 has, in line with expectations, seen a slowdown in sales compared to the record results of the first half year of 2023. While overall Group sales were affected by more moderate demand levels, Grundfos has experienced growth in important markets like the US, India, and the UK. Profitability remained strong, in line with the strategic ambition of 10% EBIT before special items ratio.</w:t>
      </w:r>
    </w:p>
    <w:p w14:paraId="6B66FFE4" w14:textId="77777777" w:rsidR="00775D57" w:rsidRPr="00775D57" w:rsidRDefault="00775D57" w:rsidP="00775D57">
      <w:pPr>
        <w:jc w:val="both"/>
        <w:rPr>
          <w:b/>
          <w:bCs/>
        </w:rPr>
      </w:pPr>
      <w:r w:rsidRPr="00775D57">
        <w:rPr>
          <w:b/>
          <w:bCs/>
        </w:rPr>
        <w:t xml:space="preserve">Financial power to invest in the </w:t>
      </w:r>
      <w:proofErr w:type="spellStart"/>
      <w:proofErr w:type="gramStart"/>
      <w:r w:rsidRPr="00775D57">
        <w:rPr>
          <w:b/>
          <w:bCs/>
        </w:rPr>
        <w:t>future</w:t>
      </w:r>
      <w:proofErr w:type="spellEnd"/>
      <w:proofErr w:type="gramEnd"/>
    </w:p>
    <w:p w14:paraId="1E3484A4" w14:textId="35572659" w:rsidR="00775D57" w:rsidRDefault="00775D57" w:rsidP="00775D57">
      <w:pPr>
        <w:jc w:val="both"/>
      </w:pPr>
      <w:r>
        <w:t xml:space="preserve">“As called out in our 2024-outlook, we have experienced slower sales in the first part of the year. Despite current market conditions we are growing key markets, and we continue to run a solid and profitable business. This gives us the financial power to invest in the future and to continue strengthening our business through innovation and M&amp;A,” said Grundfos CEO </w:t>
      </w:r>
      <w:proofErr w:type="spellStart"/>
      <w:r>
        <w:t>Poul</w:t>
      </w:r>
      <w:proofErr w:type="spellEnd"/>
      <w:r>
        <w:t xml:space="preserve"> Due Jensen.</w:t>
      </w:r>
    </w:p>
    <w:p w14:paraId="06F90BD5" w14:textId="77777777" w:rsidR="008915FC" w:rsidRDefault="00775D57" w:rsidP="00775D57">
      <w:pPr>
        <w:jc w:val="both"/>
        <w:rPr>
          <w:b/>
          <w:bCs/>
        </w:rPr>
      </w:pPr>
      <w:r w:rsidRPr="00775D57">
        <w:rPr>
          <w:b/>
          <w:bCs/>
        </w:rPr>
        <w:t xml:space="preserve">Heat pumps essential to leverage the energy-efficiency </w:t>
      </w:r>
      <w:proofErr w:type="gramStart"/>
      <w:r w:rsidRPr="00775D57">
        <w:rPr>
          <w:b/>
          <w:bCs/>
        </w:rPr>
        <w:t>agenda</w:t>
      </w:r>
      <w:proofErr w:type="gramEnd"/>
    </w:p>
    <w:p w14:paraId="6091B080" w14:textId="344CF252" w:rsidR="00775D57" w:rsidRPr="008915FC" w:rsidRDefault="00775D57" w:rsidP="00775D57">
      <w:pPr>
        <w:jc w:val="both"/>
        <w:rPr>
          <w:b/>
          <w:bCs/>
        </w:rPr>
      </w:pPr>
      <w:r>
        <w:t>The slowdown is particularly noticeable in the European heat pump market to which Grundfos is a major supplier of circulator pumps. Alongside other European players, Grundfos has recently made significant investments in this area, and the Grundfos CEO still sees strong potential in this market:</w:t>
      </w:r>
    </w:p>
    <w:p w14:paraId="6BA40C38" w14:textId="1D20280B" w:rsidR="00775D57" w:rsidRDefault="00775D57" w:rsidP="00775D57">
      <w:pPr>
        <w:jc w:val="both"/>
      </w:pPr>
      <w:r>
        <w:t xml:space="preserve">"To fight global warming, immediate action to </w:t>
      </w:r>
      <w:proofErr w:type="spellStart"/>
      <w:r>
        <w:t>prioritise</w:t>
      </w:r>
      <w:proofErr w:type="spellEnd"/>
      <w:r>
        <w:t xml:space="preserve"> energy efficiency is needed. Heat pumps are essential to reach the political ambitions and succeed with the green transition, so we remain optimistic </w:t>
      </w:r>
      <w:proofErr w:type="gramStart"/>
      <w:r>
        <w:t>with regard to</w:t>
      </w:r>
      <w:proofErr w:type="gramEnd"/>
      <w:r>
        <w:t xml:space="preserve"> the heat pump manufacturers’ long-term need for our circulators.”</w:t>
      </w:r>
    </w:p>
    <w:p w14:paraId="293F33D3" w14:textId="77777777" w:rsidR="00775D57" w:rsidRDefault="00775D57" w:rsidP="00775D57">
      <w:pPr>
        <w:jc w:val="both"/>
        <w:rPr>
          <w:b/>
          <w:bCs/>
        </w:rPr>
      </w:pPr>
      <w:r w:rsidRPr="00775D57">
        <w:rPr>
          <w:b/>
          <w:bCs/>
        </w:rPr>
        <w:t>Looking to finishing the year strongly</w:t>
      </w:r>
    </w:p>
    <w:p w14:paraId="5D170008" w14:textId="23059C05" w:rsidR="00775D57" w:rsidRPr="00775D57" w:rsidRDefault="00775D57" w:rsidP="00775D57">
      <w:pPr>
        <w:jc w:val="both"/>
        <w:rPr>
          <w:b/>
          <w:bCs/>
        </w:rPr>
      </w:pPr>
      <w:r>
        <w:t>While the first six months of the year have been challenging, there are signs that sales are starting to pick up, indicating a stronger second half of 2024.</w:t>
      </w:r>
    </w:p>
    <w:p w14:paraId="16D0B952" w14:textId="77777777" w:rsidR="00775D57" w:rsidRDefault="00775D57" w:rsidP="00775D57">
      <w:pPr>
        <w:jc w:val="both"/>
      </w:pPr>
      <w:r>
        <w:t xml:space="preserve">“We have solid plans in place, and we are confident there is a growing need for our energy-efficient and innovative products and solutions that make a significant difference for our customers and the planet. It will take hard work and dedication to match last year’s record results, but we remain committed to finishing the year strongly,” said </w:t>
      </w:r>
      <w:proofErr w:type="spellStart"/>
      <w:r>
        <w:t>Poul</w:t>
      </w:r>
      <w:proofErr w:type="spellEnd"/>
      <w:r>
        <w:t xml:space="preserve"> Due Jensen.</w:t>
      </w:r>
    </w:p>
    <w:p w14:paraId="58C0F6E0" w14:textId="03C77B45" w:rsidR="00775D57" w:rsidRPr="00A216F8" w:rsidRDefault="00775D57" w:rsidP="00775D57">
      <w:pPr>
        <w:jc w:val="both"/>
      </w:pPr>
      <w:hyperlink r:id="rId11" w:history="1">
        <w:r w:rsidRPr="00775D57">
          <w:rPr>
            <w:rStyle w:val="Hyperlink"/>
          </w:rPr>
          <w:t>Download Financial Key Figures</w:t>
        </w:r>
      </w:hyperlink>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B057" w14:textId="77777777" w:rsidR="00850E34" w:rsidRDefault="00850E34" w:rsidP="00924CFE">
      <w:r>
        <w:separator/>
      </w:r>
    </w:p>
  </w:endnote>
  <w:endnote w:type="continuationSeparator" w:id="0">
    <w:p w14:paraId="179FE1F3" w14:textId="77777777" w:rsidR="00850E34" w:rsidRDefault="00850E34"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2E24" w14:textId="77777777" w:rsidR="00850E34" w:rsidRDefault="00850E34" w:rsidP="00924CFE">
      <w:r>
        <w:separator/>
      </w:r>
    </w:p>
  </w:footnote>
  <w:footnote w:type="continuationSeparator" w:id="0">
    <w:p w14:paraId="1D3987A1" w14:textId="77777777" w:rsidR="00850E34" w:rsidRDefault="00850E34"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134E"/>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D7856"/>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57"/>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0E34"/>
    <w:rsid w:val="00855C28"/>
    <w:rsid w:val="00857A6D"/>
    <w:rsid w:val="00857B2F"/>
    <w:rsid w:val="00864173"/>
    <w:rsid w:val="0088248E"/>
    <w:rsid w:val="008850E2"/>
    <w:rsid w:val="00887A81"/>
    <w:rsid w:val="008912A0"/>
    <w:rsid w:val="008915FC"/>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BF7D31"/>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7DB"/>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47FF"/>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uiPriority w:val="22"/>
    <w:unhideWhenUsed/>
    <w:qFormat/>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775D57"/>
    <w:rPr>
      <w:color w:val="605E5C"/>
      <w:shd w:val="clear" w:color="auto" w:fill="E1DFDD"/>
    </w:rPr>
  </w:style>
  <w:style w:type="paragraph" w:styleId="NormalWeb">
    <w:name w:val="Normal (Web)"/>
    <w:basedOn w:val="Normal"/>
    <w:uiPriority w:val="99"/>
    <w:semiHidden/>
    <w:unhideWhenUsed/>
    <w:rsid w:val="00775D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2464">
      <w:bodyDiv w:val="1"/>
      <w:marLeft w:val="0"/>
      <w:marRight w:val="0"/>
      <w:marTop w:val="0"/>
      <w:marBottom w:val="0"/>
      <w:divBdr>
        <w:top w:val="none" w:sz="0" w:space="0" w:color="auto"/>
        <w:left w:val="none" w:sz="0" w:space="0" w:color="auto"/>
        <w:bottom w:val="none" w:sz="0" w:space="0" w:color="auto"/>
        <w:right w:val="none" w:sz="0" w:space="0" w:color="auto"/>
      </w:divBdr>
      <w:divsChild>
        <w:div w:id="253905529">
          <w:marLeft w:val="0"/>
          <w:marRight w:val="0"/>
          <w:marTop w:val="0"/>
          <w:marBottom w:val="0"/>
          <w:divBdr>
            <w:top w:val="none" w:sz="0" w:space="0" w:color="auto"/>
            <w:left w:val="none" w:sz="0" w:space="0" w:color="auto"/>
            <w:bottom w:val="none" w:sz="0" w:space="0" w:color="auto"/>
            <w:right w:val="none" w:sz="0" w:space="0" w:color="auto"/>
          </w:divBdr>
        </w:div>
        <w:div w:id="124590656">
          <w:marLeft w:val="-120"/>
          <w:marRight w:val="-120"/>
          <w:marTop w:val="0"/>
          <w:marBottom w:val="0"/>
          <w:divBdr>
            <w:top w:val="none" w:sz="0" w:space="0" w:color="auto"/>
            <w:left w:val="none" w:sz="0" w:space="0" w:color="auto"/>
            <w:bottom w:val="none" w:sz="0" w:space="0" w:color="auto"/>
            <w:right w:val="none" w:sz="0" w:space="0" w:color="auto"/>
          </w:divBdr>
          <w:divsChild>
            <w:div w:id="290481396">
              <w:marLeft w:val="0"/>
              <w:marRight w:val="0"/>
              <w:marTop w:val="0"/>
              <w:marBottom w:val="0"/>
              <w:divBdr>
                <w:top w:val="none" w:sz="0" w:space="0" w:color="auto"/>
                <w:left w:val="none" w:sz="0" w:space="0" w:color="auto"/>
                <w:bottom w:val="none" w:sz="0" w:space="0" w:color="auto"/>
                <w:right w:val="none" w:sz="0" w:space="0" w:color="auto"/>
              </w:divBdr>
              <w:divsChild>
                <w:div w:id="288051493">
                  <w:marLeft w:val="0"/>
                  <w:marRight w:val="0"/>
                  <w:marTop w:val="0"/>
                  <w:marBottom w:val="0"/>
                  <w:divBdr>
                    <w:top w:val="none" w:sz="0" w:space="0" w:color="auto"/>
                    <w:left w:val="none" w:sz="0" w:space="0" w:color="auto"/>
                    <w:bottom w:val="none" w:sz="0" w:space="0" w:color="auto"/>
                    <w:right w:val="none" w:sz="0" w:space="0" w:color="auto"/>
                  </w:divBdr>
                </w:div>
              </w:divsChild>
            </w:div>
            <w:div w:id="1882092412">
              <w:marLeft w:val="0"/>
              <w:marRight w:val="0"/>
              <w:marTop w:val="0"/>
              <w:marBottom w:val="0"/>
              <w:divBdr>
                <w:top w:val="none" w:sz="0" w:space="0" w:color="auto"/>
                <w:left w:val="none" w:sz="0" w:space="0" w:color="auto"/>
                <w:bottom w:val="none" w:sz="0" w:space="0" w:color="auto"/>
                <w:right w:val="none" w:sz="0" w:space="0" w:color="auto"/>
              </w:divBdr>
              <w:divsChild>
                <w:div w:id="178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7017">
      <w:bodyDiv w:val="1"/>
      <w:marLeft w:val="0"/>
      <w:marRight w:val="0"/>
      <w:marTop w:val="0"/>
      <w:marBottom w:val="0"/>
      <w:divBdr>
        <w:top w:val="none" w:sz="0" w:space="0" w:color="auto"/>
        <w:left w:val="none" w:sz="0" w:space="0" w:color="auto"/>
        <w:bottom w:val="none" w:sz="0" w:space="0" w:color="auto"/>
        <w:right w:val="none" w:sz="0" w:space="0" w:color="auto"/>
      </w:divBdr>
    </w:div>
    <w:div w:id="1718972884">
      <w:bodyDiv w:val="1"/>
      <w:marLeft w:val="0"/>
      <w:marRight w:val="0"/>
      <w:marTop w:val="0"/>
      <w:marBottom w:val="0"/>
      <w:divBdr>
        <w:top w:val="none" w:sz="0" w:space="0" w:color="auto"/>
        <w:left w:val="none" w:sz="0" w:space="0" w:color="auto"/>
        <w:bottom w:val="none" w:sz="0" w:space="0" w:color="auto"/>
        <w:right w:val="none" w:sz="0" w:space="0" w:color="auto"/>
      </w:divBdr>
    </w:div>
    <w:div w:id="1747923783">
      <w:bodyDiv w:val="1"/>
      <w:marLeft w:val="0"/>
      <w:marRight w:val="0"/>
      <w:marTop w:val="0"/>
      <w:marBottom w:val="0"/>
      <w:divBdr>
        <w:top w:val="none" w:sz="0" w:space="0" w:color="auto"/>
        <w:left w:val="none" w:sz="0" w:space="0" w:color="auto"/>
        <w:bottom w:val="none" w:sz="0" w:space="0" w:color="auto"/>
        <w:right w:val="none" w:sz="0" w:space="0" w:color="auto"/>
      </w:divBdr>
      <w:divsChild>
        <w:div w:id="1575046524">
          <w:marLeft w:val="0"/>
          <w:marRight w:val="0"/>
          <w:marTop w:val="0"/>
          <w:marBottom w:val="0"/>
          <w:divBdr>
            <w:top w:val="none" w:sz="0" w:space="0" w:color="auto"/>
            <w:left w:val="none" w:sz="0" w:space="0" w:color="auto"/>
            <w:bottom w:val="none" w:sz="0" w:space="0" w:color="auto"/>
            <w:right w:val="none" w:sz="0" w:space="0" w:color="auto"/>
          </w:divBdr>
        </w:div>
        <w:div w:id="1242369047">
          <w:marLeft w:val="-120"/>
          <w:marRight w:val="-120"/>
          <w:marTop w:val="0"/>
          <w:marBottom w:val="0"/>
          <w:divBdr>
            <w:top w:val="none" w:sz="0" w:space="0" w:color="auto"/>
            <w:left w:val="none" w:sz="0" w:space="0" w:color="auto"/>
            <w:bottom w:val="none" w:sz="0" w:space="0" w:color="auto"/>
            <w:right w:val="none" w:sz="0" w:space="0" w:color="auto"/>
          </w:divBdr>
          <w:divsChild>
            <w:div w:id="1507864259">
              <w:marLeft w:val="0"/>
              <w:marRight w:val="0"/>
              <w:marTop w:val="0"/>
              <w:marBottom w:val="0"/>
              <w:divBdr>
                <w:top w:val="none" w:sz="0" w:space="0" w:color="auto"/>
                <w:left w:val="none" w:sz="0" w:space="0" w:color="auto"/>
                <w:bottom w:val="none" w:sz="0" w:space="0" w:color="auto"/>
                <w:right w:val="none" w:sz="0" w:space="0" w:color="auto"/>
              </w:divBdr>
              <w:divsChild>
                <w:div w:id="1413165655">
                  <w:marLeft w:val="0"/>
                  <w:marRight w:val="0"/>
                  <w:marTop w:val="0"/>
                  <w:marBottom w:val="0"/>
                  <w:divBdr>
                    <w:top w:val="none" w:sz="0" w:space="0" w:color="auto"/>
                    <w:left w:val="none" w:sz="0" w:space="0" w:color="auto"/>
                    <w:bottom w:val="none" w:sz="0" w:space="0" w:color="auto"/>
                    <w:right w:val="none" w:sz="0" w:space="0" w:color="auto"/>
                  </w:divBdr>
                </w:div>
              </w:divsChild>
            </w:div>
            <w:div w:id="86386249">
              <w:marLeft w:val="0"/>
              <w:marRight w:val="0"/>
              <w:marTop w:val="0"/>
              <w:marBottom w:val="0"/>
              <w:divBdr>
                <w:top w:val="none" w:sz="0" w:space="0" w:color="auto"/>
                <w:left w:val="none" w:sz="0" w:space="0" w:color="auto"/>
                <w:bottom w:val="none" w:sz="0" w:space="0" w:color="auto"/>
                <w:right w:val="none" w:sz="0" w:space="0" w:color="auto"/>
              </w:divBdr>
              <w:divsChild>
                <w:div w:id="20814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thor-grundfos-prod-65.adobecqms.net/content/dam/global/page-assets/about-us/news/documents/Financial-key-%20figures-Half-Year-2024-EUR.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2</Pages>
  <Words>508</Words>
  <Characters>2897</Characters>
  <Application>Microsoft Office Word</Application>
  <DocSecurity>8</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2</cp:revision>
  <cp:lastPrinted>2012-08-31T11:50:00Z</cp:lastPrinted>
  <dcterms:created xsi:type="dcterms:W3CDTF">2024-11-26T07:54:00Z</dcterms:created>
  <dcterms:modified xsi:type="dcterms:W3CDTF">2024-11-26T07:54:00Z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