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919C" w14:textId="77851582" w:rsidR="00AE1299" w:rsidRPr="00A216F8" w:rsidRDefault="00317C80" w:rsidP="00317C80">
      <w:pPr>
        <w:rPr>
          <w:b/>
          <w:bCs/>
        </w:rPr>
      </w:pPr>
      <w:permStart w:id="1364140959" w:edGrp="everyone"/>
      <w:r w:rsidRPr="00317C80">
        <w:rPr>
          <w:rStyle w:val="Heading1Char"/>
          <w:lang w:eastAsia="da-DK"/>
        </w:rPr>
        <w:t>Demand Driven Distribution</w:t>
      </w:r>
      <w:r w:rsidRPr="00317C80">
        <w:rPr>
          <w:rStyle w:val="Heading1Char"/>
        </w:rPr>
        <w:br/>
      </w:r>
      <w:r>
        <w:rPr>
          <w:b/>
          <w:bCs/>
        </w:rPr>
        <w:t>14</w:t>
      </w:r>
      <w:r w:rsidR="00AE1299" w:rsidRPr="007C2AE7">
        <w:rPr>
          <w:b/>
          <w:bCs/>
        </w:rPr>
        <w:t>-</w:t>
      </w:r>
      <w:r w:rsidR="00E54D7D">
        <w:rPr>
          <w:b/>
          <w:bCs/>
        </w:rPr>
        <w:t>Sep</w:t>
      </w:r>
      <w:r w:rsidR="00AE1299" w:rsidRPr="007C2AE7">
        <w:rPr>
          <w:b/>
          <w:bCs/>
        </w:rPr>
        <w:t>-202</w:t>
      </w:r>
      <w:r>
        <w:rPr>
          <w:b/>
          <w:bCs/>
        </w:rPr>
        <w:t>0</w:t>
      </w:r>
    </w:p>
    <w:p w14:paraId="03CF99E9" w14:textId="47972543" w:rsidR="00AE1299" w:rsidRPr="00A216F8" w:rsidRDefault="00AE1299" w:rsidP="00317C80">
      <w:pPr>
        <w:jc w:val="both"/>
      </w:pPr>
      <w:r>
        <w:rPr>
          <w:b/>
          <w:bCs/>
        </w:rPr>
        <w:br/>
      </w:r>
    </w:p>
    <w:permEnd w:id="1364140959"/>
    <w:p w14:paraId="78300220" w14:textId="77777777" w:rsidR="00AE1299" w:rsidRDefault="00AE1299" w:rsidP="00486858">
      <w:pPr>
        <w:jc w:val="both"/>
      </w:pPr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000000" w:rsidP="00486858">
            <w:pPr>
              <w:spacing w:after="0"/>
              <w:jc w:val="both"/>
            </w:pPr>
            <w:hyperlink r:id="rId11" w:history="1">
              <w:r w:rsidR="00AE1299"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000000" w:rsidP="00486858">
            <w:pPr>
              <w:spacing w:after="0"/>
              <w:jc w:val="both"/>
            </w:pPr>
            <w:hyperlink r:id="rId12" w:history="1">
              <w:r w:rsidR="00AE1299"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000000" w:rsidP="00486858">
            <w:pPr>
              <w:spacing w:after="0"/>
              <w:jc w:val="both"/>
            </w:pPr>
            <w:hyperlink r:id="rId13" w:history="1">
              <w:r w:rsidR="00AE1299"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CC05" w14:textId="77777777" w:rsidR="008E7541" w:rsidRDefault="008E7541" w:rsidP="00924CFE">
      <w:r>
        <w:separator/>
      </w:r>
    </w:p>
  </w:endnote>
  <w:endnote w:type="continuationSeparator" w:id="0">
    <w:p w14:paraId="1475915B" w14:textId="77777777" w:rsidR="008E7541" w:rsidRDefault="008E7541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60402020202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6B80" w14:textId="77777777" w:rsidR="008E7541" w:rsidRDefault="008E7541" w:rsidP="00924CFE">
      <w:r>
        <w:separator/>
      </w:r>
    </w:p>
  </w:footnote>
  <w:footnote w:type="continuationSeparator" w:id="0">
    <w:p w14:paraId="6611066C" w14:textId="77777777" w:rsidR="008E7541" w:rsidRDefault="008E7541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17C80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5DC2"/>
    <w:rsid w:val="007776DB"/>
    <w:rsid w:val="007923E9"/>
    <w:rsid w:val="007A69CB"/>
    <w:rsid w:val="007A7339"/>
    <w:rsid w:val="007B5AE8"/>
    <w:rsid w:val="007B6A34"/>
    <w:rsid w:val="007C3F84"/>
    <w:rsid w:val="007C628A"/>
    <w:rsid w:val="007D40B0"/>
    <w:rsid w:val="007E1C8C"/>
    <w:rsid w:val="007F0279"/>
    <w:rsid w:val="007F626E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E7541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423F"/>
    <w:rsid w:val="00BA4D64"/>
    <w:rsid w:val="00BA5D9F"/>
    <w:rsid w:val="00BB0255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2C0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customXml/itemProps3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C:\Users\73063\Downloads\Grundfos A4 Logo Top.dotx</Template>
  <TotalTime>0</TotalTime>
  <Pages>1</Pages>
  <Words>84</Words>
  <Characters>480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Ninh Gia Nguyen</cp:lastModifiedBy>
  <cp:revision>2</cp:revision>
  <cp:lastPrinted>2012-08-31T11:50:00Z</cp:lastPrinted>
  <dcterms:created xsi:type="dcterms:W3CDTF">2024-11-28T01:42:00Z</dcterms:created>
  <dcterms:modified xsi:type="dcterms:W3CDTF">2024-11-28T01:42:00Z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