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5622263E" w:rsidR="00AE1299" w:rsidRPr="00A216F8" w:rsidRDefault="009026E2" w:rsidP="009026E2">
      <w:pPr>
        <w:rPr>
          <w:b/>
          <w:bCs/>
        </w:rPr>
      </w:pPr>
      <w:permStart w:id="1364140959" w:edGrp="everyone"/>
      <w:r w:rsidRPr="009026E2">
        <w:rPr>
          <w:rStyle w:val="Heading1Char"/>
          <w:lang w:eastAsia="da-DK"/>
        </w:rPr>
        <w:t>Bringing our world together for teambuilding and friendship</w:t>
      </w:r>
      <w:r>
        <w:rPr>
          <w:rFonts w:ascii="Calibri" w:eastAsia="Times New Roman" w:hAnsi="Calibri" w:cs="Calibri"/>
          <w:b/>
          <w:bCs/>
          <w:color w:val="126AF3" w:themeColor="accent2"/>
          <w:kern w:val="0"/>
          <w:sz w:val="36"/>
          <w:szCs w:val="36"/>
          <w:lang w:eastAsia="da-DK"/>
          <w14:ligatures w14:val="none"/>
        </w:rPr>
        <w:br/>
      </w:r>
      <w:r>
        <w:rPr>
          <w:b/>
          <w:bCs/>
        </w:rPr>
        <w:t>18</w:t>
      </w:r>
      <w:r w:rsidR="00AE1299" w:rsidRPr="007C2AE7">
        <w:rPr>
          <w:b/>
          <w:bCs/>
        </w:rPr>
        <w:t>-</w:t>
      </w:r>
      <w:r>
        <w:rPr>
          <w:b/>
          <w:bCs/>
        </w:rPr>
        <w:t>May</w:t>
      </w:r>
      <w:r w:rsidR="00AE1299" w:rsidRPr="007C2AE7">
        <w:rPr>
          <w:b/>
          <w:bCs/>
        </w:rPr>
        <w:t>-202</w:t>
      </w:r>
      <w:r>
        <w:rPr>
          <w:b/>
          <w:bCs/>
        </w:rPr>
        <w:t>3</w:t>
      </w:r>
    </w:p>
    <w:p w14:paraId="336A241C" w14:textId="7206D8C1" w:rsidR="009026E2" w:rsidRPr="009026E2" w:rsidRDefault="00AE1299" w:rsidP="009026E2">
      <w:pPr>
        <w:jc w:val="both"/>
        <w:rPr>
          <w:b/>
          <w:bCs/>
        </w:rPr>
      </w:pPr>
      <w:r>
        <w:rPr>
          <w:b/>
          <w:bCs/>
        </w:rPr>
        <w:br/>
      </w:r>
      <w:r w:rsidR="009026E2" w:rsidRPr="009026E2">
        <w:rPr>
          <w:b/>
          <w:bCs/>
        </w:rPr>
        <w:t xml:space="preserve">We are hosting 1,500 colleagues from 57 countries across the world, all joining us at company headquarters in </w:t>
      </w:r>
      <w:proofErr w:type="spellStart"/>
      <w:r w:rsidR="009026E2" w:rsidRPr="009026E2">
        <w:rPr>
          <w:b/>
          <w:bCs/>
        </w:rPr>
        <w:t>Bjerringbro</w:t>
      </w:r>
      <w:proofErr w:type="spellEnd"/>
      <w:r w:rsidR="009026E2" w:rsidRPr="009026E2">
        <w:rPr>
          <w:b/>
          <w:bCs/>
        </w:rPr>
        <w:t xml:space="preserve"> for the 9th Grundfos Olympics.</w:t>
      </w:r>
    </w:p>
    <w:p w14:paraId="0DD74871" w14:textId="5F91A8D5" w:rsidR="009026E2" w:rsidRDefault="009026E2" w:rsidP="009026E2">
      <w:pPr>
        <w:jc w:val="both"/>
      </w:pPr>
      <w:r>
        <w:t xml:space="preserve">Friendship, sports, and cultural experiences. There are plenty of good experiences to be had in </w:t>
      </w:r>
      <w:proofErr w:type="spellStart"/>
      <w:r>
        <w:t>Bjerringbro</w:t>
      </w:r>
      <w:proofErr w:type="spellEnd"/>
      <w:r>
        <w:t>, Denmark, these days.</w:t>
      </w:r>
    </w:p>
    <w:p w14:paraId="62BB7C38" w14:textId="7DF5F3A9" w:rsidR="009026E2" w:rsidRDefault="009026E2" w:rsidP="009026E2">
      <w:pPr>
        <w:jc w:val="both"/>
      </w:pPr>
      <w:r>
        <w:t>The Grundfos Olympics is a four-day event, providing Grundfos colleagues with an opportunity to participate in friendly competition and teambuilding, as well as connecting with old and new friends and colleagues.</w:t>
      </w:r>
    </w:p>
    <w:p w14:paraId="105A753C" w14:textId="6745A83E" w:rsidR="009026E2" w:rsidRDefault="009026E2" w:rsidP="009026E2">
      <w:pPr>
        <w:jc w:val="both"/>
      </w:pPr>
      <w:r>
        <w:t>The Grundfos Olympics is an opportunity to compete in 32 different sports – and 97 disciplines in total.</w:t>
      </w:r>
    </w:p>
    <w:p w14:paraId="178DF79C" w14:textId="1FADBD58" w:rsidR="009026E2" w:rsidRDefault="009026E2" w:rsidP="009026E2">
      <w:pPr>
        <w:jc w:val="both"/>
      </w:pPr>
      <w:r>
        <w:t>And a special circumstance is that all colleagues from abroad are hosted by Danish colleagues and their families, underlining the Grundfos Olympics motto: Teambuilding and Friends</w:t>
      </w:r>
    </w:p>
    <w:p w14:paraId="03CF99E9" w14:textId="3C60D598" w:rsidR="00AE1299" w:rsidRPr="00A216F8" w:rsidRDefault="009026E2" w:rsidP="009026E2">
      <w:pPr>
        <w:jc w:val="both"/>
      </w:pPr>
      <w:r>
        <w:t xml:space="preserve">“The Grundfos Olympics are very near and dear to me. It is always a special feeling to meet and greet colleagues from across the world, making new acquaintances and reconnecting with old friends. I am looking forward to some great days,” says </w:t>
      </w:r>
      <w:proofErr w:type="spellStart"/>
      <w:r>
        <w:t>Poul</w:t>
      </w:r>
      <w:proofErr w:type="spellEnd"/>
      <w:r>
        <w:t xml:space="preserve"> Due Jensen, Group </w:t>
      </w:r>
      <w:proofErr w:type="gramStart"/>
      <w:r>
        <w:t>President</w:t>
      </w:r>
      <w:proofErr w:type="gramEnd"/>
      <w:r>
        <w:t xml:space="preserve"> and CEO, Grundfos.</w:t>
      </w:r>
    </w:p>
    <w:permEnd w:id="1364140959"/>
    <w:p w14:paraId="78300220" w14:textId="77777777" w:rsidR="00AE1299" w:rsidRDefault="00AE1299" w:rsidP="00486858">
      <w:pPr>
        <w:jc w:val="both"/>
      </w:pPr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E2A6" w14:textId="77777777" w:rsidR="00B80BC8" w:rsidRDefault="00B80BC8" w:rsidP="00924CFE">
      <w:r>
        <w:separator/>
      </w:r>
    </w:p>
  </w:endnote>
  <w:endnote w:type="continuationSeparator" w:id="0">
    <w:p w14:paraId="554DDA63" w14:textId="77777777" w:rsidR="00B80BC8" w:rsidRDefault="00B80BC8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3D98" w14:textId="77777777" w:rsidR="00B80BC8" w:rsidRDefault="00B80BC8" w:rsidP="00924CFE">
      <w:r>
        <w:separator/>
      </w:r>
    </w:p>
  </w:footnote>
  <w:footnote w:type="continuationSeparator" w:id="0">
    <w:p w14:paraId="244C7531" w14:textId="77777777" w:rsidR="00B80BC8" w:rsidRDefault="00B80BC8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0F6D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026E2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0BC8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1</TotalTime>
  <Pages>1</Pages>
  <Words>249</Words>
  <Characters>1423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3</cp:revision>
  <cp:lastPrinted>2012-08-31T11:50:00Z</cp:lastPrinted>
  <dcterms:created xsi:type="dcterms:W3CDTF">2024-11-26T11:21:00Z</dcterms:created>
  <dcterms:modified xsi:type="dcterms:W3CDTF">2024-11-26T11:23:00Z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